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275F7A4D"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7198215</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CA4691" w:rsidR="00CA4691">
        <w:rPr>
          <w:b/>
          <w:color w:val="808080" w:themeColor="background1" w:themeShade="80"/>
          <w:sz w:val="36"/>
          <w:lang w:val="German"/>
        </w:rPr>
        <w:t>LEITFADEN ZUM AUFBAU EINER STARKEN REMOTE-ZUSAMMENARBEIT</w:t>
      </w:r>
    </w:p>
    <w:p w:rsidRPr="004B4E12" w:rsidR="00F91DEA" w:rsidP="006B4529" w14:paraId="14E3B67D" w14:textId="77777777">
      <w:pPr>
        <w:bidi w:val="false"/>
        <w:rPr>
          <w:sz w:val="18"/>
          <w:szCs w:val="18"/>
        </w:rPr>
      </w:pPr>
    </w:p>
    <w:tbl>
      <w:tblPr>
        <w:tblW w:w="14653" w:type="dxa"/>
        <w:tblLook w:val="04A0"/>
      </w:tblPr>
      <w:tblGrid>
        <w:gridCol w:w="1885"/>
        <w:gridCol w:w="7740"/>
        <w:gridCol w:w="5028"/>
      </w:tblGrid>
      <w:tr w:rsidTr="004B4E12" w14:paraId="2A0FBFA6" w14:textId="77777777">
        <w:tblPrEx>
          <w:tblW w:w="14653" w:type="dxa"/>
          <w:tblLook w:val="04A0"/>
        </w:tblPrEx>
        <w:trPr>
          <w:trHeight w:val="360"/>
        </w:trPr>
        <w:tc>
          <w:tcPr>
            <w:tcW w:w="1885" w:type="dxa"/>
            <w:tcBorders>
              <w:top w:val="single" w:color="BFBFBF" w:sz="4" w:space="0"/>
              <w:left w:val="single" w:color="BFBFBF" w:sz="4" w:space="0"/>
              <w:bottom w:val="single" w:color="BFBFBF" w:sz="4" w:space="0"/>
              <w:right w:val="single" w:color="BFBFBF" w:sz="4" w:space="0"/>
            </w:tcBorders>
            <w:shd w:val="clear" w:color="000000" w:fill="D5DCE4"/>
            <w:vAlign w:val="center"/>
            <w:hideMark/>
          </w:tcPr>
          <w:p w:rsidRPr="00F91DEA" w:rsidR="00F91DEA" w:rsidP="00F91DEA" w14:paraId="7EDC9D11" w14:textId="77777777">
            <w:pPr>
              <w:bidi w:val="false"/>
              <w:rPr>
                <w:rFonts w:cs="Calibri"/>
                <w:b/>
                <w:bCs/>
                <w:color w:val="000000"/>
                <w:sz w:val="18"/>
                <w:szCs w:val="18"/>
              </w:rPr>
            </w:pPr>
            <w:r w:rsidRPr="00F91DEA">
              <w:rPr>
                <w:rFonts w:cs="Calibri"/>
                <w:b/>
                <w:color w:val="000000"/>
                <w:sz w:val="18"/>
                <w:szCs w:val="18"/>
                <w:lang w:val="German"/>
              </w:rPr>
              <w:t>GESCHÄFTSFELD</w:t>
            </w:r>
          </w:p>
        </w:tc>
        <w:tc>
          <w:tcPr>
            <w:tcW w:w="7740" w:type="dxa"/>
            <w:tcBorders>
              <w:top w:val="single" w:color="BFBFBF" w:sz="4" w:space="0"/>
              <w:left w:val="nil"/>
              <w:bottom w:val="single" w:color="BFBFBF" w:sz="4" w:space="0"/>
              <w:right w:val="single" w:color="BFBFBF" w:sz="4" w:space="0"/>
            </w:tcBorders>
            <w:shd w:val="clear" w:color="000000" w:fill="D5DCE4"/>
            <w:vAlign w:val="center"/>
            <w:hideMark/>
          </w:tcPr>
          <w:p w:rsidRPr="00F91DEA" w:rsidR="00F91DEA" w:rsidP="00F91DEA" w14:paraId="70829633" w14:textId="77777777">
            <w:pPr>
              <w:bidi w:val="false"/>
              <w:rPr>
                <w:rFonts w:cs="Calibri"/>
                <w:b/>
                <w:bCs/>
                <w:color w:val="000000"/>
                <w:sz w:val="18"/>
                <w:szCs w:val="18"/>
              </w:rPr>
            </w:pPr>
            <w:r w:rsidRPr="00F91DEA">
              <w:rPr>
                <w:rFonts w:cs="Calibri"/>
                <w:b/>
                <w:sz w:val="18"/>
                <w:szCs w:val="18"/>
                <w:lang w:val="German"/>
              </w:rPr>
              <w:t>TIPPS</w:t>
            </w:r>
          </w:p>
        </w:tc>
        <w:tc>
          <w:tcPr>
            <w:tcW w:w="5028"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F91DEA" w:rsidR="00F91DEA" w:rsidP="00F91DEA" w14:paraId="5CC91AA3" w14:textId="77777777">
            <w:pPr>
              <w:bidi w:val="false"/>
              <w:rPr>
                <w:rFonts w:cs="Calibri"/>
                <w:b/>
                <w:bCs/>
                <w:color w:val="000000"/>
                <w:sz w:val="18"/>
                <w:szCs w:val="18"/>
              </w:rPr>
            </w:pPr>
            <w:r w:rsidRPr="00F91DEA">
              <w:rPr>
                <w:rFonts w:cs="Calibri"/>
                <w:b/>
                <w:sz w:val="18"/>
                <w:szCs w:val="18"/>
                <w:lang w:val="German"/>
              </w:rPr>
              <w:t>NOTIZEN</w:t>
            </w:r>
          </w:p>
        </w:tc>
      </w:tr>
      <w:tr w:rsidTr="004B4E12" w14:paraId="39B91ECA" w14:textId="77777777">
        <w:tblPrEx>
          <w:tblW w:w="14653" w:type="dxa"/>
          <w:tblLook w:val="04A0"/>
        </w:tblPrEx>
        <w:trPr>
          <w:trHeight w:val="1440"/>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39381461" w14:textId="77777777">
            <w:pPr>
              <w:bidi w:val="false"/>
              <w:rPr>
                <w:rFonts w:cs="Calibri"/>
                <w:color w:val="000000"/>
                <w:szCs w:val="20"/>
              </w:rPr>
            </w:pPr>
            <w:r w:rsidRPr="00F91DEA">
              <w:rPr>
                <w:rFonts w:cs="Calibri"/>
                <w:szCs w:val="20"/>
                <w:lang w:val="German"/>
              </w:rPr>
              <w:t>VERMIETUNG</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3772953F"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Stellen Sie "Macher" ein. </w:t>
            </w:r>
          </w:p>
          <w:p w:rsidRPr="001B0D99" w:rsidR="001B0D99" w:rsidP="00012675" w14:paraId="41D45AB8"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Suchen Sie nach Menschen mit starken schriftlichen Kommunikationsfähigkeiten. </w:t>
            </w:r>
          </w:p>
          <w:p w:rsidRPr="001B0D99" w:rsidR="001B0D99" w:rsidP="00012675" w14:paraId="0AA90D9A"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Priorisieren Sie Autonomie und Vertrauen. </w:t>
            </w:r>
          </w:p>
          <w:p w:rsidRPr="001B0D99" w:rsidR="00F91DEA" w:rsidP="00012675" w14:paraId="127B8EBC"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Bewerten Sie das Bedürfnis der Menschen nach einem sozialen Arbeitsplatz.  </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291F8835" w14:textId="77777777">
            <w:pPr>
              <w:bidi w:val="false"/>
              <w:rPr>
                <w:rFonts w:cs="Calibri"/>
                <w:color w:val="000000"/>
                <w:sz w:val="18"/>
                <w:szCs w:val="18"/>
              </w:rPr>
            </w:pPr>
            <w:r w:rsidRPr="00F91DEA">
              <w:rPr>
                <w:rFonts w:cs="Calibri"/>
                <w:color w:val="000000"/>
                <w:sz w:val="18"/>
                <w:szCs w:val="18"/>
                <w:lang w:val="German"/>
              </w:rPr>
              <w:t xml:space="preserve"> </w:t>
            </w:r>
          </w:p>
        </w:tc>
      </w:tr>
      <w:tr w:rsidTr="004B4E12" w14:paraId="28ED1BCF" w14:textId="77777777">
        <w:tblPrEx>
          <w:tblW w:w="14653" w:type="dxa"/>
          <w:tblLook w:val="04A0"/>
        </w:tblPrEx>
        <w:trPr>
          <w:trHeight w:val="1440"/>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0DDEF471" w14:textId="77777777">
            <w:pPr>
              <w:bidi w:val="false"/>
              <w:rPr>
                <w:rFonts w:cs="Calibri"/>
                <w:color w:val="000000"/>
                <w:szCs w:val="20"/>
              </w:rPr>
            </w:pPr>
            <w:r w:rsidRPr="00F91DEA">
              <w:rPr>
                <w:rFonts w:cs="Calibri"/>
                <w:szCs w:val="20"/>
                <w:lang w:val="German"/>
              </w:rPr>
              <w:t>ZEITPLANUNG</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3D544A59"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Legen Sie Arbeitszeiten fest.  </w:t>
            </w:r>
          </w:p>
          <w:p w:rsidRPr="001B0D99" w:rsidR="001B0D99" w:rsidP="00012675" w14:paraId="65B5141E"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Pflegen Sie einen Zeitplan, damit die Teammitglieder zuverlässig zusammenarbeiten können. </w:t>
            </w:r>
          </w:p>
          <w:p w:rsidRPr="001B0D99" w:rsidR="00F91DEA" w:rsidP="00012675" w14:paraId="6ED1B04B"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Berücksichtigen Sie die Zeitzonenunterschiede (idealerweise sollte es zwei bis drei Stunden dauern, in denen alle unabhängig vom Standort zusammenarbeiten können). </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7D650E93" w14:textId="77777777">
            <w:pPr>
              <w:bidi w:val="false"/>
              <w:rPr>
                <w:rFonts w:cs="Calibri"/>
                <w:color w:val="000000"/>
                <w:sz w:val="18"/>
                <w:szCs w:val="18"/>
              </w:rPr>
            </w:pPr>
            <w:r w:rsidRPr="00F91DEA">
              <w:rPr>
                <w:rFonts w:cs="Calibri"/>
                <w:color w:val="000000"/>
                <w:sz w:val="18"/>
                <w:szCs w:val="18"/>
                <w:lang w:val="German"/>
              </w:rPr>
              <w:t xml:space="preserve"> </w:t>
            </w:r>
          </w:p>
        </w:tc>
      </w:tr>
      <w:tr w:rsidTr="004B4E12" w14:paraId="73A2FA1E" w14:textId="77777777">
        <w:tblPrEx>
          <w:tblW w:w="14653" w:type="dxa"/>
          <w:tblLook w:val="04A0"/>
        </w:tblPrEx>
        <w:trPr>
          <w:trHeight w:val="1440"/>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2B509829" w14:textId="77777777">
            <w:pPr>
              <w:bidi w:val="false"/>
              <w:rPr>
                <w:rFonts w:cs="Calibri"/>
                <w:color w:val="000000"/>
                <w:szCs w:val="20"/>
              </w:rPr>
            </w:pPr>
            <w:r w:rsidRPr="00F91DEA">
              <w:rPr>
                <w:rFonts w:cs="Calibri"/>
                <w:szCs w:val="20"/>
                <w:lang w:val="German"/>
              </w:rPr>
              <w:t>GEMEINSAME NUTZUNG VON INHALTEN</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4DEA2D11"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Identifizieren Sie Möglichkeiten, Inhalte nahtlos teamübergreifend zu teilen. </w:t>
            </w:r>
          </w:p>
          <w:p w:rsidRPr="001B0D99" w:rsidR="001B0D99" w:rsidP="00012675" w14:paraId="2BCFCCA7"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Erstellen Sie Content-Hubs, die alle Dokumentationen und Ressourcen enthalten. </w:t>
            </w:r>
          </w:p>
          <w:p w:rsidRPr="001B0D99" w:rsidR="001B0D99" w:rsidP="00012675" w14:paraId="5DEAF696"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Befolgen Sie die Namenskonventionen und andere Stilkonventionen, um Ressourcen zugänglich zu machen. </w:t>
            </w:r>
          </w:p>
          <w:p w:rsidRPr="001B0D99" w:rsidR="00F91DEA" w:rsidP="00012675" w14:paraId="1A02C31E"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Stellen Sie sicher, dass alle relevanten Parteien Zugriff auf die richtigen Dokumente, Logins usw. haben. </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77041B94" w14:textId="77777777">
            <w:pPr>
              <w:bidi w:val="false"/>
              <w:rPr>
                <w:rFonts w:cs="Calibri"/>
                <w:color w:val="000000"/>
                <w:sz w:val="18"/>
                <w:szCs w:val="18"/>
              </w:rPr>
            </w:pPr>
            <w:r w:rsidRPr="00F91DEA">
              <w:rPr>
                <w:rFonts w:cs="Calibri"/>
                <w:color w:val="000000"/>
                <w:sz w:val="18"/>
                <w:szCs w:val="18"/>
                <w:lang w:val="German"/>
              </w:rPr>
              <w:t xml:space="preserve"> </w:t>
            </w:r>
          </w:p>
        </w:tc>
      </w:tr>
      <w:tr w:rsidTr="004B4E12" w14:paraId="1209DEA8" w14:textId="77777777">
        <w:tblPrEx>
          <w:tblW w:w="14653" w:type="dxa"/>
          <w:tblLook w:val="04A0"/>
        </w:tblPrEx>
        <w:trPr>
          <w:trHeight w:val="3024"/>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4E624CC1" w14:textId="77777777">
            <w:pPr>
              <w:bidi w:val="false"/>
              <w:rPr>
                <w:rFonts w:cs="Calibri"/>
                <w:color w:val="000000"/>
                <w:szCs w:val="20"/>
              </w:rPr>
            </w:pPr>
            <w:r w:rsidRPr="00F91DEA">
              <w:rPr>
                <w:rFonts w:cs="Calibri"/>
                <w:szCs w:val="20"/>
                <w:lang w:val="German"/>
              </w:rPr>
              <w:t>TEAMBETEILIGUNG</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2C276BB2"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Streben Sie nach universeller Partizipation, unabhängig von Rolle oder Standort. </w:t>
            </w:r>
          </w:p>
          <w:p w:rsidRPr="001B0D99" w:rsidR="001B0D99" w:rsidP="00012675" w14:paraId="7F5B4E7F"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German"/>
              </w:rPr>
              <w:t xml:space="preserve">Planen Sie obligatorische regelmäßige Teambesprechungen: </w:t>
            </w:r>
          </w:p>
          <w:p w:rsidRPr="001B0D99" w:rsidR="001B0D99" w:rsidP="00012675" w14:paraId="6CDF5F3C"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German"/>
              </w:rPr>
              <w:t>Bereiten Sie sich immer auf eine virtuelle Besprechung vor, wie Sie es für eine Besprechung im Büro tun würden.</w:t>
            </w:r>
          </w:p>
          <w:p w:rsidRPr="001B0D99" w:rsidR="001B0D99" w:rsidP="00012675" w14:paraId="50557FCD"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German"/>
              </w:rPr>
              <w:t xml:space="preserve">Machen Sie ein Meeting-Warm-up (Eisbrecher oder anderes Spiel). Haben Sie einen designierten Führer. </w:t>
            </w:r>
          </w:p>
          <w:p w:rsidRPr="001B0D99" w:rsidR="001B0D99" w:rsidP="00012675" w14:paraId="7B14B0D0"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German"/>
              </w:rPr>
              <w:t>Legen Sie Ergebnisse und Zeitlimits für jede Besprechung fest und verwenden Sie eine Tagesordnung.</w:t>
            </w:r>
          </w:p>
          <w:p w:rsidRPr="001B0D99" w:rsidR="001B0D99" w:rsidP="00012675" w14:paraId="63D0177E"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German"/>
              </w:rPr>
              <w:t xml:space="preserve">Erweitern Sie die Konversation, um alle einzubeziehen, aber schränken Sie die Optionen für den nächsten Schritt ein. </w:t>
            </w:r>
          </w:p>
          <w:p w:rsidRPr="001B0D99" w:rsidR="00F91DEA" w:rsidP="00012675" w14:paraId="41222766"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German"/>
              </w:rPr>
              <w:t>Bestätigen Sie, was Sie besprochen haben, schriftlich, nach dem Meeting.</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564E39BD" w14:textId="77777777">
            <w:pPr>
              <w:bidi w:val="false"/>
              <w:rPr>
                <w:rFonts w:cs="Calibri"/>
                <w:color w:val="000000"/>
                <w:sz w:val="18"/>
                <w:szCs w:val="18"/>
              </w:rPr>
            </w:pPr>
          </w:p>
        </w:tc>
      </w:tr>
      <w:tr w:rsidTr="004B4E12" w14:paraId="7D0281D3" w14:textId="77777777">
        <w:tblPrEx>
          <w:tblW w:w="14653" w:type="dxa"/>
          <w:tblLook w:val="04A0"/>
        </w:tblPrEx>
        <w:trPr>
          <w:trHeight w:val="1872"/>
        </w:trPr>
        <w:tc>
          <w:tcPr>
            <w:tcW w:w="1885" w:type="dxa"/>
            <w:tcBorders>
              <w:top w:val="single" w:color="BFBFBF" w:sz="4" w:space="0"/>
              <w:left w:val="single" w:color="BFBFBF" w:sz="4" w:space="0"/>
              <w:bottom w:val="single" w:color="BFBFBF" w:themeColor="background1" w:themeShade="BF" w:sz="24" w:space="0"/>
              <w:right w:val="single" w:color="BFBFBF" w:sz="4" w:space="0"/>
            </w:tcBorders>
            <w:shd w:val="clear" w:color="000000" w:fill="EAEEF3"/>
            <w:tcMar>
              <w:top w:w="115" w:type="dxa"/>
              <w:left w:w="115" w:type="dxa"/>
              <w:right w:w="115" w:type="dxa"/>
            </w:tcMar>
            <w:hideMark/>
          </w:tcPr>
          <w:p w:rsidRPr="00F91DEA" w:rsidR="00F91DEA" w:rsidP="001B0D99" w14:paraId="1FAF8217" w14:textId="77777777">
            <w:pPr>
              <w:bidi w:val="false"/>
              <w:rPr>
                <w:rFonts w:cs="Calibri"/>
                <w:color w:val="000000"/>
                <w:szCs w:val="20"/>
              </w:rPr>
            </w:pPr>
            <w:r w:rsidRPr="00F91DEA">
              <w:rPr>
                <w:rFonts w:cs="Calibri"/>
                <w:szCs w:val="20"/>
                <w:lang w:val="German"/>
              </w:rPr>
              <w:t>WERKZEUGE</w:t>
            </w:r>
          </w:p>
        </w:tc>
        <w:tc>
          <w:tcPr>
            <w:tcW w:w="7740" w:type="dxa"/>
            <w:tcBorders>
              <w:top w:val="single" w:color="BFBFBF" w:sz="4" w:space="0"/>
              <w:left w:val="nil"/>
              <w:bottom w:val="single" w:color="BFBFBF" w:themeColor="background1" w:themeShade="BF" w:sz="24" w:space="0"/>
              <w:right w:val="single" w:color="BFBFBF" w:sz="4" w:space="0"/>
            </w:tcBorders>
            <w:shd w:val="clear" w:color="000000" w:fill="F7F9FB"/>
            <w:tcMar>
              <w:top w:w="115" w:type="dxa"/>
              <w:left w:w="115" w:type="dxa"/>
              <w:right w:w="115" w:type="dxa"/>
            </w:tcMar>
            <w:hideMark/>
          </w:tcPr>
          <w:p w:rsidRPr="001B0D99" w:rsidR="001B0D99" w:rsidP="00012675" w14:paraId="2B1E6288"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German"/>
              </w:rPr>
              <w:t xml:space="preserve">Recherchieren Sie, bevor Sie Tools für die Zusammenarbeit kaufen. </w:t>
            </w:r>
          </w:p>
          <w:p w:rsidRPr="001B0D99" w:rsidR="001B0D99" w:rsidP="00012675" w14:paraId="47B6BB65"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German"/>
              </w:rPr>
              <w:t xml:space="preserve">Verstehen Sie, wie viele Lizenzen (oder welche Abonnementstufe) Sie vor dem Kauf benötigen. </w:t>
            </w:r>
          </w:p>
          <w:p w:rsidRPr="001B0D99" w:rsidR="001B0D99" w:rsidP="00012675" w14:paraId="483FF02D"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German"/>
              </w:rPr>
              <w:t>Bieten Sie eine angemessene Schulung an.</w:t>
            </w:r>
          </w:p>
          <w:p w:rsidRPr="001B0D99" w:rsidR="00F91DEA" w:rsidP="00012675" w14:paraId="57EDCA0F"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German"/>
              </w:rPr>
              <w:t>Verlassen Sie sich nicht ausschließlich auf Tools, um die Zusammenarbeit zu unterstützen, und haben Sie Backup-Pläne für Konnektivitätsprobleme oder andere Fehler.</w:t>
            </w:r>
          </w:p>
        </w:tc>
        <w:tc>
          <w:tcPr>
            <w:tcW w:w="5028" w:type="dxa"/>
            <w:tcBorders>
              <w:top w:val="single" w:color="BFBFBF" w:sz="4" w:space="0"/>
              <w:left w:val="nil"/>
              <w:bottom w:val="single" w:color="BFBFBF" w:themeColor="background1" w:themeShade="BF" w:sz="2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586D87E0" w14:textId="77777777">
            <w:pPr>
              <w:bidi w:val="false"/>
              <w:rPr>
                <w:rFonts w:cs="Calibri"/>
                <w:color w:val="000000"/>
                <w:sz w:val="18"/>
                <w:szCs w:val="18"/>
              </w:rPr>
            </w:pPr>
            <w:r w:rsidRPr="00F91DEA">
              <w:rPr>
                <w:rFonts w:cs="Calibri"/>
                <w:color w:val="000000"/>
                <w:sz w:val="18"/>
                <w:szCs w:val="18"/>
                <w:lang w:val="German"/>
              </w:rPr>
              <w:t xml:space="preserve"> </w:t>
            </w:r>
          </w:p>
        </w:tc>
      </w:tr>
    </w:tbl>
    <w:p w:rsidR="00F91DEA" w:rsidP="006B4529" w14:paraId="643B799B" w14:textId="77777777">
      <w:pPr>
        <w:bidi w:val="false"/>
        <w:rPr>
          <w:szCs w:val="20"/>
        </w:rPr>
        <w:sectPr w:rsidSect="00E03F61">
          <w:footerReference w:type="even" r:id="rId10"/>
          <w:footerReference w:type="default" r:id="rId11"/>
          <w:pgSz w:w="15840" w:h="12240" w:orient="landscape"/>
          <w:pgMar w:top="504" w:right="576" w:bottom="720" w:left="576" w:header="720" w:footer="518" w:gutter="0"/>
          <w:cols w:space="720"/>
          <w:titlePg/>
          <w:docGrid w:linePitch="360"/>
        </w:sectPr>
      </w:pPr>
    </w:p>
    <w:p w:rsidRPr="00682B27" w:rsidR="002A74C4" w:rsidP="006B4529" w14:paraId="58B5162F" w14:textId="77777777">
      <w:pPr>
        <w:bidi w:val="false"/>
        <w:rPr>
          <w:szCs w:val="20"/>
        </w:rPr>
      </w:pPr>
    </w:p>
    <w:bookmarkEnd w:id="4"/>
    <w:bookmarkEnd w:id="5"/>
    <w:bookmarkEnd w:id="6"/>
    <w:bookmarkEnd w:id="7"/>
    <w:bookmarkEnd w:id="8"/>
    <w:p w:rsidRPr="00682B27" w:rsidR="001968EE" w:rsidP="001968EE" w14:paraId="3620F1FA" w14:textId="77777777">
      <w:pPr>
        <w:shd w:val="clear" w:color="auto" w:fill="FFFFFF"/>
        <w:bidi w:val="false"/>
        <w:rPr>
          <w:szCs w:val="21"/>
        </w:rPr>
      </w:pPr>
    </w:p>
    <w:p w:rsidRPr="003D706E" w:rsidR="00C81141" w:rsidP="001032AD" w14:paraId="28EFC2B0"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C443026"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110C9CA0" w14:textId="77777777">
            <w:pPr>
              <w:bidi w:val="false"/>
              <w:jc w:val="center"/>
              <w:rPr>
                <w:rFonts w:cs="Arial"/>
                <w:b/>
                <w:color w:val="000000" w:themeColor="text1"/>
                <w:sz w:val="20"/>
                <w:szCs w:val="20"/>
              </w:rPr>
            </w:pPr>
          </w:p>
          <w:p w:rsidRPr="003D706E" w:rsidR="00FF51C2" w:rsidP="001032AD" w14:paraId="2BE172E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0302CEE9" w14:textId="77777777">
            <w:pPr>
              <w:bidi w:val="false"/>
              <w:spacing w:line="276" w:lineRule="auto"/>
              <w:rPr>
                <w:rFonts w:cs="Arial"/>
                <w:color w:val="000000" w:themeColor="text1"/>
                <w:sz w:val="21"/>
                <w:szCs w:val="18"/>
              </w:rPr>
            </w:pPr>
          </w:p>
          <w:p w:rsidRPr="003D706E" w:rsidR="00FF51C2" w:rsidP="001032AD" w14:paraId="1DC867D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4EF7DD26" w14:textId="77777777">
      <w:pPr>
        <w:rPr>
          <w:b/>
          <w:color w:val="000000" w:themeColor="text1"/>
          <w:sz w:val="32"/>
          <w:szCs w:val="44"/>
        </w:rPr>
      </w:pPr>
    </w:p>
    <w:p w:rsidR="00473A9E" w:rsidP="001032AD" w14:paraId="15EBCF40" w14:textId="77777777">
      <w:pPr>
        <w:rPr>
          <w:b/>
          <w:color w:val="000000" w:themeColor="text1"/>
          <w:sz w:val="32"/>
          <w:szCs w:val="44"/>
        </w:rPr>
      </w:pPr>
    </w:p>
    <w:p w:rsidRPr="003D706E" w:rsidR="00473A9E" w:rsidP="001032AD" w14:paraId="127A98EE" w14:textId="77777777">
      <w:pPr>
        <w:rPr>
          <w:b/>
          <w:color w:val="000000" w:themeColor="text1"/>
          <w:sz w:val="32"/>
          <w:szCs w:val="44"/>
        </w:rPr>
      </w:pPr>
    </w:p>
    <w:sectPr w:rsidSect="00E03F61">
      <w:pgSz w:w="12240" w:h="15840"/>
      <w:pgMar w:top="576" w:right="504"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50293B67"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58D8B3F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4D965EE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1CC4895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56EC2"/>
    <w:multiLevelType w:val="hybridMultilevel"/>
    <w:tmpl w:val="B5BED0BA"/>
    <w:lvl w:ilvl="0">
      <w:start w:val="1"/>
      <w:numFmt w:val="bullet"/>
      <w:lvlText w:val="o"/>
      <w:lvlJc w:val="left"/>
      <w:pPr>
        <w:ind w:left="720" w:hanging="360"/>
      </w:pPr>
      <w:rPr>
        <w:rFonts w:hint="default" w:ascii="Courier New" w:hAnsi="Courier New" w:cs="Courier New"/>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
    <w:nsid w:val="3C194011"/>
    <w:multiLevelType w:val="hybridMultilevel"/>
    <w:tmpl w:val="211CA80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61A8311D"/>
    <w:multiLevelType w:val="hybridMultilevel"/>
    <w:tmpl w:val="D2CEC70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9B"/>
    <w:rsid w:val="000013C8"/>
    <w:rsid w:val="00012675"/>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B0D99"/>
    <w:rsid w:val="001D1C87"/>
    <w:rsid w:val="001E0FD3"/>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B4E1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17188"/>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D6BD4"/>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20DF"/>
    <w:rsid w:val="00A06691"/>
    <w:rsid w:val="00A11BF6"/>
    <w:rsid w:val="00A12C16"/>
    <w:rsid w:val="00A2037C"/>
    <w:rsid w:val="00A2277A"/>
    <w:rsid w:val="00A255C6"/>
    <w:rsid w:val="00A649D2"/>
    <w:rsid w:val="00A6738D"/>
    <w:rsid w:val="00A75E8D"/>
    <w:rsid w:val="00A94CC9"/>
    <w:rsid w:val="00A94E32"/>
    <w:rsid w:val="00A95536"/>
    <w:rsid w:val="00A95F8C"/>
    <w:rsid w:val="00AA5E3A"/>
    <w:rsid w:val="00AB1F2A"/>
    <w:rsid w:val="00AC6B85"/>
    <w:rsid w:val="00AD6706"/>
    <w:rsid w:val="00AE12B5"/>
    <w:rsid w:val="00AE1A89"/>
    <w:rsid w:val="00AE5CE6"/>
    <w:rsid w:val="00AE719B"/>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4691"/>
    <w:rsid w:val="00CA5E15"/>
    <w:rsid w:val="00CA6F96"/>
    <w:rsid w:val="00CB4DF0"/>
    <w:rsid w:val="00CB5333"/>
    <w:rsid w:val="00CB7FA5"/>
    <w:rsid w:val="00CD2479"/>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3F61"/>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2CD7"/>
    <w:rsid w:val="00EC3CDB"/>
    <w:rsid w:val="00EC4C48"/>
    <w:rsid w:val="00F05EE6"/>
    <w:rsid w:val="00F06218"/>
    <w:rsid w:val="00F11F7B"/>
    <w:rsid w:val="00F200A5"/>
    <w:rsid w:val="00F30326"/>
    <w:rsid w:val="00F36FE0"/>
    <w:rsid w:val="00F85E87"/>
    <w:rsid w:val="00F90516"/>
    <w:rsid w:val="00F91DEA"/>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16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48&amp;utm_language=DE&amp;utm_source=integrated+content&amp;utm_campaign=/remote-collaboration&amp;utm_medium=ic+guide+to+building+strong+remote+collaboration+49348+word+de&amp;lpa=ic+guide+to+building+strong+remote+collaboration+49348+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IC-Guide-to-Building-Strong-Remote-Collaboration_WORD.dotx</Template>
  <TotalTime>0</TotalTime>
  <Pages>2</Pages>
  <Words>308</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2020-08-24T20:23:00Z</dcterms:created>
  <dcterms:modified xsi:type="dcterms:W3CDTF">2020-08-24T20:23:00Z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